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hint="eastAsia" w:ascii="仿宋_GB2312" w:hAnsi="仿宋_GB2312" w:eastAsia="仿宋_GB2312"/>
          <w:sz w:val="32"/>
        </w:rPr>
      </w:pPr>
      <w:r>
        <w:rPr>
          <w:rFonts w:hint="eastAsia" w:ascii="黑体" w:hAnsi="黑体" w:eastAsia="黑体"/>
          <w:sz w:val="32"/>
        </w:rPr>
        <w:t>附件</w:t>
      </w:r>
      <w:r>
        <w:rPr>
          <w:rFonts w:hint="eastAsia" w:ascii="黑体" w:hAnsi="黑体" w:eastAsia="黑体"/>
          <w:sz w:val="32"/>
          <w:lang w:val="en-US" w:eastAsia="zh-CN"/>
        </w:rPr>
        <w:t>1</w:t>
      </w:r>
      <w:r>
        <w:rPr>
          <w:rFonts w:hint="eastAsia" w:ascii="黑体" w:hAnsi="黑体" w:eastAsia="黑体"/>
          <w:sz w:val="32"/>
        </w:rPr>
        <w:t>：</w:t>
      </w:r>
      <w:r>
        <w:rPr>
          <w:rFonts w:hint="eastAsia" w:ascii="仿宋_GB2312" w:hAnsi="仿宋_GB2312" w:eastAsia="仿宋_GB2312"/>
          <w:sz w:val="32"/>
        </w:rPr>
        <w:t xml:space="preserve"> </w:t>
      </w:r>
    </w:p>
    <w:p>
      <w:pPr>
        <w:adjustRightInd w:val="0"/>
        <w:snapToGrid w:val="0"/>
        <w:spacing w:line="600" w:lineRule="atLeast"/>
        <w:rPr>
          <w:rFonts w:hint="eastAsia" w:asciiTheme="majorEastAsia" w:hAnsiTheme="majorEastAsia" w:eastAsiaTheme="majorEastAsia"/>
          <w:sz w:val="44"/>
        </w:rPr>
      </w:pPr>
      <w:r>
        <w:rPr>
          <w:rFonts w:hint="eastAsia" w:asciiTheme="majorEastAsia" w:hAnsiTheme="majorEastAsia" w:eastAsiaTheme="majorEastAsia"/>
          <w:sz w:val="44"/>
        </w:rPr>
        <w:object>
          <v:shape id="_x0000_i1025" o:spt="75" type="#_x0000_t75" style="height:633.15pt;width:455.5pt;" o:ole="t" filled="f" o:preferrelative="t" stroked="f" coordsize="21600,21600">
            <v:path/>
            <v:fill on="f" focussize="0,0"/>
            <v:stroke on="f"/>
            <v:imagedata r:id="rId5" o:title=""/>
            <o:lock v:ext="edit" aspectratio="f"/>
            <w10:wrap type="none"/>
            <w10:anchorlock/>
          </v:shape>
          <o:OLEObject Type="Embed" ProgID="Excel.Sheet.12" ShapeID="_x0000_i1025" DrawAspect="Content" ObjectID="_1468075725" r:id="rId4">
            <o:LockedField>false</o:LockedField>
          </o:OLEObject>
        </w:object>
      </w:r>
    </w:p>
    <w:p>
      <w:pPr>
        <w:rPr>
          <w:rFonts w:ascii="Times New Roman" w:hAnsi="Times New Roman" w:cs="Times New Roman"/>
          <w:b/>
          <w:sz w:val="30"/>
          <w:szCs w:val="30"/>
        </w:rPr>
      </w:pPr>
      <w:r>
        <w:rPr>
          <w:rFonts w:hint="eastAsia" w:ascii="黑体" w:hAnsi="黑体" w:eastAsia="黑体" w:cs="黑体"/>
          <w:b w:val="0"/>
          <w:bCs/>
          <w:sz w:val="32"/>
          <w:szCs w:val="32"/>
        </w:rPr>
        <w:t>附件2：案例参考模板</w:t>
      </w:r>
    </w:p>
    <w:p>
      <w:pPr>
        <w:rPr>
          <w:rFonts w:hint="eastAsia" w:ascii="黑体" w:hAnsi="黑体" w:eastAsia="黑体" w:cs="黑体"/>
          <w:b w:val="0"/>
          <w:bCs/>
          <w:sz w:val="32"/>
          <w:szCs w:val="32"/>
        </w:rPr>
      </w:pPr>
      <w:r>
        <w:rPr>
          <w:rFonts w:hint="eastAsia" w:ascii="黑体" w:hAnsi="黑体" w:eastAsia="黑体" w:cs="黑体"/>
          <w:b w:val="0"/>
          <w:bCs/>
          <w:sz w:val="32"/>
          <w:szCs w:val="32"/>
        </w:rPr>
        <w:t>案例一：</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sz w:val="36"/>
          <w:szCs w:val="36"/>
        </w:rPr>
      </w:pPr>
      <w:r>
        <w:rPr>
          <w:rFonts w:hint="eastAsia" w:asciiTheme="majorEastAsia" w:hAnsiTheme="majorEastAsia" w:eastAsiaTheme="majorEastAsia"/>
          <w:sz w:val="36"/>
          <w:szCs w:val="36"/>
        </w:rPr>
        <w:t>助力大型能源央企</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sz w:val="36"/>
          <w:szCs w:val="36"/>
        </w:rPr>
      </w:pPr>
      <w:r>
        <w:rPr>
          <w:rFonts w:hint="eastAsia" w:asciiTheme="majorEastAsia" w:hAnsiTheme="majorEastAsia" w:eastAsiaTheme="majorEastAsia"/>
          <w:sz w:val="36"/>
          <w:szCs w:val="36"/>
        </w:rPr>
        <w:t>建设世界一流财务管理体系</w:t>
      </w: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hint="eastAsia" w:asciiTheme="majorEastAsia" w:hAnsiTheme="majorEastAsia" w:eastAsiaTheme="majorEastAsia"/>
          <w:sz w:val="32"/>
          <w:szCs w:val="32"/>
        </w:rPr>
      </w:pPr>
      <w:r>
        <w:rPr>
          <w:rFonts w:hint="eastAsia" w:asciiTheme="majorEastAsia" w:hAnsiTheme="majorEastAsia" w:eastAsiaTheme="majorEastAsia"/>
          <w:sz w:val="32"/>
          <w:szCs w:val="32"/>
        </w:rPr>
        <w:t xml:space="preserve"> ——某会计师事务所</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602"/>
        <w:textAlignment w:val="auto"/>
        <w:rPr>
          <w:rFonts w:hint="eastAsia" w:ascii="仿宋" w:hAnsi="仿宋" w:eastAsia="仿宋" w:cs="仿宋"/>
          <w:b/>
          <w:sz w:val="32"/>
          <w:szCs w:val="32"/>
        </w:rPr>
      </w:pPr>
      <w:r>
        <w:rPr>
          <w:rFonts w:hint="eastAsia" w:ascii="仿宋" w:hAnsi="仿宋" w:eastAsia="仿宋" w:cs="仿宋"/>
          <w:b/>
          <w:sz w:val="32"/>
          <w:szCs w:val="32"/>
        </w:rPr>
        <w:t>一、项目背景</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600"/>
        <w:textAlignment w:val="auto"/>
        <w:rPr>
          <w:rFonts w:hint="eastAsia" w:ascii="仿宋" w:hAnsi="仿宋" w:eastAsia="仿宋" w:cs="仿宋"/>
          <w:sz w:val="32"/>
          <w:szCs w:val="32"/>
        </w:rPr>
      </w:pPr>
      <w:r>
        <w:rPr>
          <w:rFonts w:hint="eastAsia" w:ascii="仿宋" w:hAnsi="仿宋" w:eastAsia="仿宋" w:cs="仿宋"/>
          <w:sz w:val="32"/>
          <w:szCs w:val="32"/>
        </w:rPr>
        <w:t>党的十九大以来，党中央多次强调要做强做优做大国有资本，培养具有全球竞争力的世界一流企业，为此，国务院国资委发布了《关于中央企业加快建设世界一流财务管理体系的指导意见》。某会计师事务所是一家大型能源央企的长期合作伙伴和专业咨询服务机构，以自身跨领域、交叉背景、综合信息的能力，为企业构建世界一流财务管理体系提供专业服务。</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602"/>
        <w:textAlignment w:val="auto"/>
        <w:rPr>
          <w:rFonts w:hint="eastAsia" w:ascii="仿宋" w:hAnsi="仿宋" w:eastAsia="仿宋" w:cs="仿宋"/>
          <w:b/>
          <w:sz w:val="32"/>
          <w:szCs w:val="32"/>
        </w:rPr>
      </w:pPr>
      <w:r>
        <w:rPr>
          <w:rFonts w:hint="eastAsia" w:ascii="仿宋" w:hAnsi="仿宋" w:eastAsia="仿宋" w:cs="仿宋"/>
          <w:b/>
          <w:sz w:val="32"/>
          <w:szCs w:val="32"/>
        </w:rPr>
        <w:t xml:space="preserve"> 二、主要做法</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600"/>
        <w:textAlignment w:val="auto"/>
        <w:rPr>
          <w:rFonts w:hint="eastAsia" w:ascii="仿宋" w:hAnsi="仿宋" w:eastAsia="仿宋" w:cs="仿宋"/>
          <w:sz w:val="32"/>
          <w:szCs w:val="32"/>
        </w:rPr>
      </w:pPr>
      <w:r>
        <w:rPr>
          <w:rFonts w:hint="eastAsia" w:ascii="仿宋" w:hAnsi="仿宋" w:eastAsia="仿宋" w:cs="仿宋"/>
          <w:sz w:val="32"/>
          <w:szCs w:val="32"/>
        </w:rPr>
        <w:t>该所引入卓越绩效、敏捷产品开发、财务三位一体转型等先进方法，将自动化程序布局到财务工作的全流程，推动企业多层次、多领域、多场景的“多维+”管理变革和技术应用。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（一）</w:t>
      </w:r>
      <w:r>
        <w:rPr>
          <w:rFonts w:hint="eastAsia" w:ascii="仿宋" w:hAnsi="仿宋" w:eastAsia="仿宋" w:cs="仿宋"/>
          <w:sz w:val="32"/>
          <w:szCs w:val="32"/>
        </w:rPr>
        <w:t>在平台建设方面，基于能源行业的业务特性，结合前后端技术、大数据、分析应用领域的经验，建成数量相当、价值突出的财务管理数据分析模型，归纳、总结、挑选最具代表性、最有核心价值的指标维度，覆盖财会全价值链，精准识别管理需求、发展诉求，提升数据平台的应用价值和用户体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在数据治理方面，精细化部署提升数据质量的管理方案，触达组织、制度、流程和技术各方面，全方位梳理数据关系图谱，为数据建立全生命周期的溯源链条，并通过职责分工确保流程得到执行、技术得以实现；深入探索会计转型的数字化技术，结合数字化发展前沿动态，推动会计向未来会计转型。</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(三)</w:t>
      </w:r>
      <w:r>
        <w:rPr>
          <w:rFonts w:hint="eastAsia" w:ascii="仿宋" w:hAnsi="仿宋" w:eastAsia="仿宋" w:cs="仿宋"/>
          <w:sz w:val="32"/>
          <w:szCs w:val="32"/>
        </w:rPr>
        <w:t>在管理创新方面，帮助企业逐步完善健全卓越绩效管理的组织体系、责任体系、标准体系，构建闭环工作机制；通过卓越绩效过程与结果评价方法对企业多维精益管理的现状水平进行测量分析，使用SWOT和鱼骨图工具分析问题原因；通过组建多部门协同机制，分层次分类型分项目帮助企业实施改进举措。</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(四)</w:t>
      </w:r>
      <w:r>
        <w:rPr>
          <w:rFonts w:hint="eastAsia" w:ascii="仿宋" w:hAnsi="仿宋" w:eastAsia="仿宋" w:cs="仿宋"/>
          <w:sz w:val="32"/>
          <w:szCs w:val="32"/>
        </w:rPr>
        <w:t>在流程变革方面，利用前沿技术进行流程再造和重构，有效解放人力、提升效率，实现高质量安全运行；利用“RPA+AI+智能硬件”开创开票流程软件硬件交互融合、财务工作场景集中化、自动化创新管理的新局面；帮助企业颠覆传统人力密集的发票处理工作模式，实现单票自发票生成到完成寄送封装全流程处理在1分钟内完成，日承载发票量1500张。</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602"/>
        <w:textAlignment w:val="auto"/>
        <w:rPr>
          <w:rFonts w:hint="eastAsia" w:ascii="仿宋" w:hAnsi="仿宋" w:eastAsia="仿宋" w:cs="仿宋"/>
          <w:b/>
          <w:sz w:val="32"/>
          <w:szCs w:val="32"/>
        </w:rPr>
      </w:pPr>
      <w:r>
        <w:rPr>
          <w:rFonts w:hint="eastAsia" w:ascii="仿宋" w:hAnsi="仿宋" w:eastAsia="仿宋" w:cs="仿宋"/>
          <w:b/>
          <w:sz w:val="32"/>
          <w:szCs w:val="32"/>
        </w:rPr>
        <w:t xml:space="preserve"> 三、成效影响</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600"/>
        <w:textAlignment w:val="auto"/>
        <w:rPr>
          <w:rFonts w:hint="eastAsia" w:ascii="仿宋" w:hAnsi="仿宋" w:eastAsia="仿宋" w:cs="仿宋"/>
          <w:sz w:val="32"/>
          <w:szCs w:val="32"/>
        </w:rPr>
      </w:pPr>
      <w:r>
        <w:rPr>
          <w:rFonts w:hint="eastAsia" w:ascii="仿宋" w:hAnsi="仿宋" w:eastAsia="仿宋" w:cs="仿宋"/>
          <w:sz w:val="32"/>
          <w:szCs w:val="32"/>
        </w:rPr>
        <w:t>在企业数字化转型浪潮中，该所勇于探索企业财务管理创新和技术突破，全面推动企业的会计数字化转型。在该所的帮助下，企业在管理创新、技术创新等领域收获系统内乃至全行业的多个奖项，为企业全面升级为千亿级规模的产业电商平台注入底气，为全面提升管理运营水平提供有力支撑，成功为大型央企建设世界一流财务管理体系提供了专业咨询服务。</w:t>
      </w:r>
    </w:p>
    <w:p>
      <w:pPr>
        <w:rPr>
          <w:rFonts w:hint="eastAsia" w:ascii="黑体" w:hAnsi="黑体" w:eastAsia="黑体" w:cs="黑体"/>
          <w:b w:val="0"/>
          <w:bCs/>
          <w:sz w:val="32"/>
          <w:szCs w:val="32"/>
        </w:rPr>
      </w:pPr>
      <w:r>
        <w:rPr>
          <w:rFonts w:hint="eastAsia" w:ascii="黑体" w:hAnsi="黑体" w:eastAsia="黑体" w:cs="黑体"/>
          <w:b w:val="0"/>
          <w:bCs/>
          <w:sz w:val="32"/>
          <w:szCs w:val="32"/>
        </w:rPr>
        <w:t>案例二：</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sz w:val="36"/>
          <w:szCs w:val="36"/>
        </w:rPr>
      </w:pPr>
      <w:r>
        <w:rPr>
          <w:rFonts w:hint="eastAsia" w:asciiTheme="majorEastAsia" w:hAnsiTheme="majorEastAsia" w:eastAsiaTheme="majorEastAsia"/>
          <w:sz w:val="36"/>
          <w:szCs w:val="36"/>
        </w:rPr>
        <w:t>助力电力体制改革科学核定电价</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sz w:val="36"/>
          <w:szCs w:val="36"/>
        </w:rPr>
      </w:pPr>
      <w:r>
        <w:rPr>
          <w:rFonts w:hint="eastAsia" w:asciiTheme="majorEastAsia" w:hAnsiTheme="majorEastAsia" w:eastAsiaTheme="majorEastAsia"/>
          <w:sz w:val="36"/>
          <w:szCs w:val="36"/>
        </w:rPr>
        <w:t>协助开展第三监管周期输配电定价成本监审工作</w:t>
      </w: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hint="eastAsia" w:asciiTheme="majorEastAsia" w:hAnsiTheme="majorEastAsia" w:eastAsiaTheme="majorEastAsia"/>
          <w:sz w:val="32"/>
          <w:szCs w:val="32"/>
        </w:rPr>
      </w:pPr>
      <w:r>
        <w:rPr>
          <w:rFonts w:hint="eastAsia" w:asciiTheme="majorEastAsia" w:hAnsiTheme="majorEastAsia" w:eastAsiaTheme="majorEastAsia"/>
          <w:sz w:val="32"/>
          <w:szCs w:val="32"/>
        </w:rPr>
        <w:t>——某会计师事务所</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一、项目背景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党中央、国务院提出要“准确核定成本、科学确定利润、严格进行监管 ”。2022年，国家发展改革委正式启动全国省级电网和区域电网第三监管周期（2019—2021年）输配电定价成本监审实地审核工作。某会计师事务所以勇于创新的工作精神、丰富的财务管理经验，全程参与国家发展改革委电价成本监审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主要做法</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该所科学合理核定电网企业提供输配电服务的成本费用支出，以经审计的会计报表、账簿、会计凭证及其他原始业务材料等为基础，勇于探索提升成本监审工作效率的方式、方法，为科学定价提供数据基础依据。</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在工具创新方面，首次尝试开发数智化监审信息系统，通过系统统一及固化工作流程与规则，在全国范围内实现审核标准的规范化、科学化，大数据存储也利于各监管周期衔接利用。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在方式创新方面，创新运用线上集中审核与现场实地审核相结合的组织形式，分别成立中心组、地方审核组，既独立审核，又协作联动并相互补充完善，实现审核过程的公开、公平和公正。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在方法创新方面，除继续运用传统的审阅、抽查、计算、分析等方法外，启用科目映射法、函数验证法、关键要素（字段）查询法等适应数字时代特征的大数据处理工具，更快、更准地实现资产和费用的重新归集、转换和多维度运算。</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四）在专家成员多元化方面，本次监审用好用足内外部专家“智库”资源。期间聘请会计师事务所、技经专家、电力专家等专业人士，充分发挥会计师事务所财经领域专业技术及经验和各路专家“外脑”作用，打通政策、业务、财务界限，政策契合业务、更具可行性及公允性，财务贴合政策、数据更精准、政策更落地。</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三、成效影响</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该所通过工具创新、方式创新、方法创新以及智库成员多元化等新思路新作为，实现监审视角的多维度衡量、监审工作的科学化管理。该所多轮参与国家发展改革委输配电成本、引航（移泊）服务定价成本监审等国家宏观价格调控方面工作，从项目启动、规程细化、系统开发、上线运行、实地审核、会审复核至报告定数等方面统筹安排、合理决策，紧密协同配合国家发展改革委与各省地方发展改革委电价成本监审工作，获国家发展改革委高度评价，为国家价格改革事业贡献了专业力量。</w:t>
      </w:r>
    </w:p>
    <w:p>
      <w:pPr>
        <w:spacing w:beforeLines="200" w:afterLines="100"/>
        <w:jc w:val="center"/>
        <w:rPr>
          <w:rFonts w:hint="eastAsia" w:asciiTheme="majorEastAsia" w:hAnsiTheme="majorEastAsia" w:eastAsiaTheme="majorEastAsia"/>
          <w:sz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YWFkYjNhZGE2NWQzNTVkNjg2Y2UzNjcxMDc3ZmUifQ=="/>
  </w:docVars>
  <w:rsids>
    <w:rsidRoot w:val="0BE46F87"/>
    <w:rsid w:val="0BE46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2023-06-01T02:27:00Z</dcterms:created>
  <dc:creator>Administrator</dc:creator>
  <cp:lastModifiedBy>Administrator</cp:lastModifiedBy>
  <dcterms:modified xsi:type="dcterms:W3CDTF">2023-06-01T02:27:33Z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FA8A682C611B4E909B42399940606A5E_11</vt:lpwstr>
  </property>
</Properties>
</file>